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word/numbering.xml" ContentType="application/vnd.openxmlformats-officedocument.wordprocessingml.numbering+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r="http://schemas.openxmlformats.org/officeDocument/2006/relationships" xmlns:w="http://schemas.openxmlformats.org/wordprocessingml/2006/main">
  <w:body>
    <w:p>
      <w:pPr>
        <w:pStyle w:val="Title"/>
        <w:spacing w:after="140" w:line="324" w:lineRule="auto"/>
        <w:keepNext/>
      </w:pPr>
      <w:r>
        <w:rPr>
          <w:rFonts w:ascii="Times New Roman" w:hAnsi="Times New Roman"/>
          <w:sz w:val="32"/>
          <w:b/>
          <w:lang w:val="en-GB"/>
        </w:rPr>
        <w:t xml:space="preserve">PROSPEXE DATA PROCESSING AGREEMENT — REVIEW DRAFT</w:t>
      </w:r>
    </w:p>
    <w:p>
      <w:pPr>
        <w:pStyle w:val="Normal"/>
        <w:spacing w:after="140" w:line="324" w:lineRule="auto"/>
      </w:pPr>
      <w:r>
        <w:rPr>
          <w:rFonts w:ascii="Times New Roman" w:hAnsi="Times New Roman"/>
          <w:sz w:val="22"/>
          <w:lang w:val="en-GB"/>
        </w:rPr>
        <w:t xml:space="preserve">Revised for review: 12 October 2026.</w:t>
      </w:r>
    </w:p>
    <w:p>
      <w:pPr>
        <w:pStyle w:val="Normal"/>
        <w:spacing w:after="140" w:line="324" w:lineRule="auto"/>
        <w:shd w:fill="FFF3CD"/>
      </w:pPr>
      <w:r>
        <w:rPr>
          <w:rFonts w:ascii="Times New Roman" w:hAnsi="Times New Roman"/>
          <w:sz w:val="22"/>
          <w:b/>
          <w:lang w:val="en-GB"/>
        </w:rPr>
        <w:t xml:space="preserve">REVIEW DRAFT — NOT READY FOR CUSTOMER ACCEPTANCE. This is general drafting assistance, not legal advice. It reconciles the supplied DPA with the accompanying Terms review draft and the user's confirmed scope. Provider/transfer details, actual security measures and the return/deletion procedure remain to be finalised. No unsupported security certification, tested backup process or active post-termination read-only feature is claimed.</w:t>
      </w:r>
    </w:p>
    <w:p>
      <w:pPr>
        <w:pStyle w:val="Normal"/>
        <w:spacing w:after="140" w:line="324" w:lineRule="auto"/>
      </w:pPr>
      <w:r>
        <w:rPr>
          <w:rFonts w:ascii="Times New Roman" w:hAnsi="Times New Roman"/>
          <w:sz w:val="22"/>
          <w:lang w:val="en-GB"/>
        </w:rPr>
        <w:t xml:space="preserve">This proposed Data Processing Agreement (“DPA”) accompanies the written Order and identified Terms of Service between Robert Christopher Link, trading as Prospexe (“Prospexe”, “we” or “us”), and the business Customer identified in that Order (“Customer” or “you”). It applies to Customer Personal Data processed on the Customer's behalf through the Service.</w:t>
      </w:r>
    </w:p>
    <w:p>
      <w:pPr>
        <w:pStyle w:val="Normal"/>
        <w:spacing w:after="140" w:line="324" w:lineRule="auto"/>
      </w:pPr>
      <w:r>
        <w:rPr>
          <w:rFonts w:ascii="Times New Roman" w:hAnsi="Times New Roman"/>
          <w:sz w:val="22"/>
          <w:lang w:val="en-GB"/>
        </w:rPr>
        <w:t xml:space="preserve">The agreed DPA must be supplied with the Order and identified by title and version or revision date. It does not depend on an existing public /dpa webpage. Undefined capitalised terms have the meaning given in the agreed Terms.</w:t>
      </w:r>
    </w:p>
    <w:p>
      <w:pPr>
        <w:pStyle w:val="Heading1"/>
        <w:spacing w:after="140" w:line="324" w:lineRule="auto"/>
        <w:keepNext/>
      </w:pPr>
      <w:r>
        <w:rPr>
          <w:rFonts w:ascii="Times New Roman" w:hAnsi="Times New Roman"/>
          <w:sz w:val="26"/>
          <w:b/>
          <w:lang w:val="en-GB"/>
        </w:rPr>
        <w:t xml:space="preserve">1. Definitions</w:t>
      </w:r>
    </w:p>
    <w:p>
      <w:pPr>
        <w:pStyle w:val="Normal"/>
        <w:spacing w:after="140" w:line="324" w:lineRule="auto"/>
      </w:pPr>
      <w:r>
        <w:rPr>
          <w:rFonts w:ascii="Times New Roman" w:hAnsi="Times New Roman"/>
          <w:sz w:val="22"/>
          <w:lang w:val="en-GB"/>
        </w:rPr>
        <w:t xml:space="preserve">1.1 “Data Protection Legislation” means the UK GDPR, the Data Protection Act 2018, applicable Privacy and Electronic Communications Regulations and other applicable data-protection legislation, as amended.</w:t>
      </w:r>
    </w:p>
    <w:p>
      <w:pPr>
        <w:pStyle w:val="Normal"/>
        <w:spacing w:after="140" w:line="324" w:lineRule="auto"/>
      </w:pPr>
      <w:r>
        <w:rPr>
          <w:rFonts w:ascii="Times New Roman" w:hAnsi="Times New Roman"/>
          <w:sz w:val="22"/>
          <w:lang w:val="en-GB"/>
        </w:rPr>
        <w:t xml:space="preserve">1.2 Controller, Processor, Personal Data, Processing, Data Subject and Personal Data Breach have their applicable statutory meanings.</w:t>
      </w:r>
    </w:p>
    <w:p>
      <w:pPr>
        <w:pStyle w:val="Normal"/>
        <w:spacing w:after="140" w:line="324" w:lineRule="auto"/>
      </w:pPr>
      <w:r>
        <w:rPr>
          <w:rFonts w:ascii="Times New Roman" w:hAnsi="Times New Roman"/>
          <w:sz w:val="22"/>
          <w:lang w:val="en-GB"/>
        </w:rPr>
        <w:t xml:space="preserve">1.3 “Customer Personal Data” means personal data within Customer Data processed on the Customer's behalf, distinct from our independent controller processing.</w:t>
      </w:r>
    </w:p>
    <w:p>
      <w:pPr>
        <w:pStyle w:val="Normal"/>
        <w:spacing w:after="140" w:line="324" w:lineRule="auto"/>
      </w:pPr>
      <w:r>
        <w:rPr>
          <w:rFonts w:ascii="Times New Roman" w:hAnsi="Times New Roman"/>
          <w:sz w:val="22"/>
          <w:lang w:val="en-GB"/>
        </w:rPr>
        <w:t xml:space="preserve">1.4 “Sub-processor” means a provider appointed by Prospexe to process Customer Personal Data on its behalf in providing the Service. A customer-selected integration is not automatically classified as a Prospexe-appointed Sub-processor; the actual relationship and data flow must be identified.</w:t>
      </w:r>
    </w:p>
    <w:p>
      <w:pPr>
        <w:pStyle w:val="Heading1"/>
        <w:spacing w:after="140" w:line="324" w:lineRule="auto"/>
        <w:keepNext/>
      </w:pPr>
      <w:r>
        <w:rPr>
          <w:rFonts w:ascii="Times New Roman" w:hAnsi="Times New Roman"/>
          <w:sz w:val="26"/>
          <w:b/>
          <w:lang w:val="en-GB"/>
        </w:rPr>
        <w:t xml:space="preserve">2. Roles and customer authority</w:t>
      </w:r>
    </w:p>
    <w:p>
      <w:pPr>
        <w:pStyle w:val="Normal"/>
        <w:spacing w:after="140" w:line="324" w:lineRule="auto"/>
      </w:pPr>
      <w:r>
        <w:rPr>
          <w:rFonts w:ascii="Times New Roman" w:hAnsi="Times New Roman"/>
          <w:sz w:val="22"/>
          <w:lang w:val="en-GB"/>
        </w:rPr>
        <w:t xml:space="preserve">2.1 Where the Customer is the Controller, Prospexe acts as its Processor for Customer Personal Data. Where the Customer acts as an authorised Processor for an end-client Controller, Prospexe acts as a further Processor in that chain. The Customer must have authority to appoint Prospexe and give the documented instructions.</w:t>
      </w:r>
    </w:p>
    <w:p>
      <w:pPr>
        <w:pStyle w:val="Normal"/>
        <w:spacing w:after="140" w:line="324" w:lineRule="auto"/>
      </w:pPr>
      <w:r>
        <w:rPr>
          <w:rFonts w:ascii="Times New Roman" w:hAnsi="Times New Roman"/>
          <w:sz w:val="22"/>
          <w:lang w:val="en-GB"/>
        </w:rPr>
        <w:t xml:space="preserve">2.2 The Customer is responsible for lawful sourcing, the relevant lawful basis and any required special-category condition or permissions, and the lawfulness of its instructions. These responsibilities do not remove Prospexe's own statutory obligations.</w:t>
      </w:r>
    </w:p>
    <w:p>
      <w:pPr>
        <w:pStyle w:val="Normal"/>
        <w:spacing w:after="140" w:line="324" w:lineRule="auto"/>
      </w:pPr>
      <w:r>
        <w:rPr>
          <w:rFonts w:ascii="Times New Roman" w:hAnsi="Times New Roman"/>
          <w:sz w:val="22"/>
          <w:lang w:val="en-GB"/>
        </w:rPr>
        <w:t xml:space="preserve">2.3 Our independent controller processing, including relevant account administration and billing information, is explained in our Privacy Policy. Processing roles must be assessed for the actual purpose; staff data is not automatically outside this DPA merely because those staff have accounts.</w:t>
      </w:r>
    </w:p>
    <w:p>
      <w:pPr>
        <w:pStyle w:val="Heading1"/>
        <w:spacing w:after="140" w:line="324" w:lineRule="auto"/>
        <w:keepNext/>
      </w:pPr>
      <w:r>
        <w:rPr>
          <w:rFonts w:ascii="Times New Roman" w:hAnsi="Times New Roman"/>
          <w:sz w:val="26"/>
          <w:b/>
          <w:lang w:val="en-GB"/>
        </w:rPr>
        <w:t xml:space="preserve">3. Documented instructions and processing scope</w:t>
      </w:r>
    </w:p>
    <w:p>
      <w:pPr>
        <w:pStyle w:val="Normal"/>
        <w:spacing w:after="140" w:line="324" w:lineRule="auto"/>
      </w:pPr>
      <w:r>
        <w:rPr>
          <w:rFonts w:ascii="Times New Roman" w:hAnsi="Times New Roman"/>
          <w:sz w:val="22"/>
          <w:lang w:val="en-GB"/>
        </w:rPr>
        <w:t xml:space="preserve">3.1 We will process Customer Personal Data only on documented, lawful instructions, including the agreed contract and authorised use of its agreed functions, or as required by applicable law. Where legally permitted, we will inform the Customer of a legal processing requirement before carrying it out.</w:t>
      </w:r>
    </w:p>
    <w:p>
      <w:pPr>
        <w:pStyle w:val="Normal"/>
        <w:spacing w:after="140" w:line="324" w:lineRule="auto"/>
      </w:pPr>
      <w:r>
        <w:rPr>
          <w:rFonts w:ascii="Times New Roman" w:hAnsi="Times New Roman"/>
          <w:sz w:val="22"/>
          <w:lang w:val="en-GB"/>
        </w:rPr>
        <w:t xml:space="preserve">3.2 If we consider an instruction infringes applicable data-protection law, we will promptly inform the Customer and may suspend that instruction while it is addressed.</w:t>
      </w:r>
    </w:p>
    <w:p>
      <w:pPr>
        <w:pStyle w:val="Normal"/>
        <w:spacing w:after="140" w:line="324" w:lineRule="auto"/>
      </w:pPr>
      <w:r>
        <w:rPr>
          <w:rFonts w:ascii="Times New Roman" w:hAnsi="Times New Roman"/>
          <w:sz w:val="22"/>
          <w:lang w:val="en-GB"/>
        </w:rPr>
        <w:t xml:space="preserve">3.3 Annex 1 identifies the proposed processing scope. Sensitive data may be processed only within the agreed scope and safeguards. Health-related HR records are included for customer-directed employment/absence purposes; that is not permission for unrestricted health, biometric or other sensitive uploads.</w:t>
      </w:r>
    </w:p>
    <w:p>
      <w:pPr>
        <w:pStyle w:val="Heading1"/>
        <w:spacing w:after="140" w:line="324" w:lineRule="auto"/>
        <w:keepNext/>
      </w:pPr>
      <w:r>
        <w:rPr>
          <w:rFonts w:ascii="Times New Roman" w:hAnsi="Times New Roman"/>
          <w:sz w:val="26"/>
          <w:b/>
          <w:lang w:val="en-GB"/>
        </w:rPr>
        <w:t xml:space="preserve">4. Confidentiality</w:t>
      </w:r>
    </w:p>
    <w:p>
      <w:pPr>
        <w:pStyle w:val="Normal"/>
        <w:spacing w:after="140" w:line="324" w:lineRule="auto"/>
      </w:pPr>
      <w:r>
        <w:rPr>
          <w:rFonts w:ascii="Times New Roman" w:hAnsi="Times New Roman"/>
          <w:sz w:val="22"/>
          <w:lang w:val="en-GB"/>
        </w:rPr>
        <w:t xml:space="preserve">4.1 People authorised to process Customer Personal Data must be subject to an appropriate binding duty of confidentiality and receive access only as needed for authorised purposes.</w:t>
      </w:r>
    </w:p>
    <w:p>
      <w:pPr>
        <w:pStyle w:val="Heading1"/>
        <w:spacing w:after="140" w:line="324" w:lineRule="auto"/>
        <w:keepNext/>
      </w:pPr>
      <w:r>
        <w:rPr>
          <w:rFonts w:ascii="Times New Roman" w:hAnsi="Times New Roman"/>
          <w:sz w:val="26"/>
          <w:b/>
          <w:lang w:val="en-GB"/>
        </w:rPr>
        <w:t xml:space="preserve">5. Security and resilience</w:t>
      </w:r>
    </w:p>
    <w:p>
      <w:pPr>
        <w:pStyle w:val="Normal"/>
        <w:spacing w:after="140" w:line="324" w:lineRule="auto"/>
      </w:pPr>
      <w:r>
        <w:rPr>
          <w:rFonts w:ascii="Times New Roman" w:hAnsi="Times New Roman"/>
          <w:sz w:val="22"/>
          <w:lang w:val="en-GB"/>
        </w:rPr>
        <w:t xml:space="preserve">5.1 We will implement appropriate technical and organisational measures for the risks of the agreed processing, including appropriate confidentiality, integrity, availability, resilience and restoration arrangements, and regular assessment of their effectiveness.</w:t>
      </w:r>
    </w:p>
    <w:p>
      <w:pPr>
        <w:pStyle w:val="Normal"/>
        <w:spacing w:after="140" w:line="324" w:lineRule="auto"/>
      </w:pPr>
      <w:r>
        <w:rPr>
          <w:rFonts w:ascii="Times New Roman" w:hAnsi="Times New Roman"/>
          <w:sz w:val="22"/>
          <w:lang w:val="en-GB"/>
        </w:rPr>
        <w:t xml:space="preserve">5.2 The final Annex 2 must describe the measures actually in place for the deployment. References to encryption, backups, administrative MFA, training or incident procedures are not evidence that each has already been implemented or tested.</w:t>
      </w:r>
    </w:p>
    <w:p>
      <w:pPr>
        <w:pStyle w:val="Normal"/>
        <w:spacing w:after="140" w:line="324" w:lineRule="auto"/>
      </w:pPr>
      <w:r>
        <w:rPr>
          <w:rFonts w:ascii="Times New Roman" w:hAnsi="Times New Roman"/>
          <w:sz w:val="22"/>
          <w:lang w:val="en-GB"/>
        </w:rPr>
        <w:t xml:space="preserve">5.3 Material changes must not unlawfully reduce the required protection. Customer security responsibilities do not replace our obligations. Security cannot be guaranteed against every possible threat.</w:t>
      </w:r>
    </w:p>
    <w:p>
      <w:pPr>
        <w:pStyle w:val="Heading1"/>
        <w:spacing w:after="140" w:line="324" w:lineRule="auto"/>
        <w:keepNext/>
      </w:pPr>
      <w:r>
        <w:rPr>
          <w:rFonts w:ascii="Times New Roman" w:hAnsi="Times New Roman"/>
          <w:sz w:val="26"/>
          <w:b/>
          <w:lang w:val="en-GB"/>
        </w:rPr>
        <w:t xml:space="preserve">6. Sub-processors</w:t>
      </w:r>
    </w:p>
    <w:p>
      <w:pPr>
        <w:pStyle w:val="Normal"/>
        <w:spacing w:after="140" w:line="324" w:lineRule="auto"/>
      </w:pPr>
      <w:r>
        <w:rPr>
          <w:rFonts w:ascii="Times New Roman" w:hAnsi="Times New Roman"/>
          <w:sz w:val="22"/>
          <w:lang w:val="en-GB"/>
        </w:rPr>
        <w:t xml:space="preserve">6.1 The completed Annex 3 will identify authorised Prospexe-appointed Sub-processors, their functions and relevant locations. The review notes in the present Annex 3 are not an approved production list or a blanket authorisation for unidentified providers.</w:t>
      </w:r>
    </w:p>
    <w:p>
      <w:pPr>
        <w:pStyle w:val="Normal"/>
        <w:spacing w:after="140" w:line="324" w:lineRule="auto"/>
      </w:pPr>
      <w:r>
        <w:rPr>
          <w:rFonts w:ascii="Times New Roman" w:hAnsi="Times New Roman"/>
          <w:sz w:val="22"/>
          <w:lang w:val="en-GB"/>
        </w:rPr>
        <w:t xml:space="preserve">6.2 We will impose the required written data-protection obligations on appointed Sub-processors and remain responsible to the Customer for their performance to the extent required by law.</w:t>
      </w:r>
    </w:p>
    <w:p>
      <w:pPr>
        <w:pStyle w:val="Normal"/>
        <w:spacing w:after="140" w:line="324" w:lineRule="auto"/>
      </w:pPr>
      <w:r>
        <w:rPr>
          <w:rFonts w:ascii="Times New Roman" w:hAnsi="Times New Roman"/>
          <w:sz w:val="22"/>
          <w:lang w:val="en-GB"/>
        </w:rPr>
        <w:t xml:space="preserve">6.3 We will give reasonable advance written notice of a proposed addition or replacement, sufficient for an opportunity to object on reasonable data-protection grounds. No fixed number of days is agreed.</w:t>
      </w:r>
    </w:p>
    <w:p>
      <w:pPr>
        <w:pStyle w:val="Normal"/>
        <w:spacing w:after="140" w:line="324" w:lineRule="auto"/>
      </w:pPr>
      <w:r>
        <w:rPr>
          <w:rFonts w:ascii="Times New Roman" w:hAnsi="Times New Roman"/>
          <w:sz w:val="22"/>
          <w:lang w:val="en-GB"/>
        </w:rPr>
        <w:t xml:space="preserve">6.4 We will seek to resolve a reasonable objection. If no lawful, reasonable alternative can be agreed, the parties will address termination of the affected service. This does not remove mandatory legal remedies or impose an unlawful exclusive-remedy restriction. The agreed Terms govern any contractual refund entitlement, subject to law.</w:t>
      </w:r>
    </w:p>
    <w:p>
      <w:pPr>
        <w:pStyle w:val="Heading1"/>
        <w:spacing w:after="140" w:line="324" w:lineRule="auto"/>
        <w:keepNext/>
      </w:pPr>
      <w:r>
        <w:rPr>
          <w:rFonts w:ascii="Times New Roman" w:hAnsi="Times New Roman"/>
          <w:sz w:val="26"/>
          <w:b/>
          <w:lang w:val="en-GB"/>
        </w:rPr>
        <w:t xml:space="preserve">7. International transfers</w:t>
      </w:r>
    </w:p>
    <w:p>
      <w:pPr>
        <w:pStyle w:val="Normal"/>
        <w:spacing w:after="140" w:line="324" w:lineRule="auto"/>
      </w:pPr>
      <w:r>
        <w:rPr>
          <w:rFonts w:ascii="Times New Roman" w:hAnsi="Times New Roman"/>
          <w:sz w:val="22"/>
          <w:lang w:val="en-GB"/>
        </w:rPr>
        <w:t xml:space="preserve">7.1 Transfers of Customer Personal Data outside the UK must comply with applicable transfer requirements, including a valid adequacy arrangement, appropriate safeguards such as the applicable UK transfer documents, or another lawful mechanism where available.</w:t>
      </w:r>
    </w:p>
    <w:p>
      <w:pPr>
        <w:pStyle w:val="Normal"/>
        <w:spacing w:after="140" w:line="324" w:lineRule="auto"/>
      </w:pPr>
      <w:r>
        <w:rPr>
          <w:rFonts w:ascii="Times New Roman" w:hAnsi="Times New Roman"/>
          <w:sz w:val="22"/>
          <w:lang w:val="en-GB"/>
        </w:rPr>
        <w:t xml:space="preserve">7.2 UK-targeted hosting does not establish that every authentication or provider data flow stays in the UK. The Customer approved overseas login processing in principle; that approval is not evidence that a particular transfer mechanism has been verified.</w:t>
      </w:r>
    </w:p>
    <w:p>
      <w:pPr>
        <w:pStyle w:val="Normal"/>
        <w:spacing w:after="140" w:line="324" w:lineRule="auto"/>
      </w:pPr>
      <w:r>
        <w:rPr>
          <w:rFonts w:ascii="Times New Roman" w:hAnsi="Times New Roman"/>
          <w:sz w:val="22"/>
          <w:lang w:val="en-GB"/>
        </w:rPr>
        <w:t xml:space="preserve">7.3 Actual provider roles, processing locations and applicable transfer safeguards must be recorded before the contract package is finalised. Nothing here represents unverified safeguards as already executed.</w:t>
      </w:r>
    </w:p>
    <w:p>
      <w:pPr>
        <w:pStyle w:val="Heading1"/>
        <w:spacing w:after="140" w:line="324" w:lineRule="auto"/>
        <w:keepNext/>
      </w:pPr>
      <w:r>
        <w:rPr>
          <w:rFonts w:ascii="Times New Roman" w:hAnsi="Times New Roman"/>
          <w:sz w:val="26"/>
          <w:b/>
          <w:lang w:val="en-GB"/>
        </w:rPr>
        <w:t xml:space="preserve">8. Data subject requests</w:t>
      </w:r>
    </w:p>
    <w:p>
      <w:pPr>
        <w:pStyle w:val="Normal"/>
        <w:spacing w:after="140" w:line="324" w:lineRule="auto"/>
      </w:pPr>
      <w:r>
        <w:rPr>
          <w:rFonts w:ascii="Times New Roman" w:hAnsi="Times New Roman"/>
          <w:sz w:val="22"/>
          <w:lang w:val="en-GB"/>
        </w:rPr>
        <w:t xml:space="preserve">8.1 Taking account of the processing and information available to us, we will assist the Customer through appropriate measures with its obligation to respond to requests concerning Customer Personal Data.</w:t>
      </w:r>
    </w:p>
    <w:p>
      <w:pPr>
        <w:pStyle w:val="Normal"/>
        <w:spacing w:after="140" w:line="324" w:lineRule="auto"/>
      </w:pPr>
      <w:r>
        <w:rPr>
          <w:rFonts w:ascii="Times New Roman" w:hAnsi="Times New Roman"/>
          <w:sz w:val="22"/>
          <w:lang w:val="en-GB"/>
        </w:rPr>
        <w:t xml:space="preserve">8.2 If a request arrives directly with us, we will promptly inform the Customer and normally redirect the individual to the responsible Controller, unless required or authorised to respond otherwise by applicable law or lawful instruction.</w:t>
      </w:r>
    </w:p>
    <w:p>
      <w:pPr>
        <w:pStyle w:val="Heading1"/>
        <w:spacing w:after="140" w:line="324" w:lineRule="auto"/>
        <w:keepNext/>
      </w:pPr>
      <w:r>
        <w:rPr>
          <w:rFonts w:ascii="Times New Roman" w:hAnsi="Times New Roman"/>
          <w:sz w:val="26"/>
          <w:b/>
          <w:lang w:val="en-GB"/>
        </w:rPr>
        <w:t xml:space="preserve">9. Assistance with compliance</w:t>
      </w:r>
    </w:p>
    <w:p>
      <w:pPr>
        <w:pStyle w:val="Normal"/>
        <w:spacing w:after="140" w:line="324" w:lineRule="auto"/>
      </w:pPr>
      <w:r>
        <w:rPr>
          <w:rFonts w:ascii="Times New Roman" w:hAnsi="Times New Roman"/>
          <w:sz w:val="22"/>
          <w:lang w:val="en-GB"/>
        </w:rPr>
        <w:t xml:space="preserve">9.1 We will provide the assistance required by applicable law with processing security, breach response, impact assessments and relevant regulatory consultations, taking account of the nature of processing and information available to us.</w:t>
      </w:r>
    </w:p>
    <w:p>
      <w:pPr>
        <w:pStyle w:val="Normal"/>
        <w:spacing w:after="140" w:line="324" w:lineRule="auto"/>
      </w:pPr>
      <w:r>
        <w:rPr>
          <w:rFonts w:ascii="Times New Roman" w:hAnsi="Times New Roman"/>
          <w:sz w:val="22"/>
          <w:lang w:val="en-GB"/>
        </w:rPr>
        <w:t xml:space="preserve">9.2 The procedure and any charges for optional assistance beyond statutory/contractual duties must be agreed in writing. No additional fee arrangement may prevent a mandatory duty being fulfilled.</w:t>
      </w:r>
    </w:p>
    <w:p>
      <w:pPr>
        <w:pStyle w:val="Heading1"/>
        <w:spacing w:after="140" w:line="324" w:lineRule="auto"/>
        <w:keepNext/>
      </w:pPr>
      <w:r>
        <w:rPr>
          <w:rFonts w:ascii="Times New Roman" w:hAnsi="Times New Roman"/>
          <w:sz w:val="26"/>
          <w:b/>
          <w:lang w:val="en-GB"/>
        </w:rPr>
        <w:t xml:space="preserve">10. Personal Data Breach notification</w:t>
      </w:r>
    </w:p>
    <w:p>
      <w:pPr>
        <w:pStyle w:val="Normal"/>
        <w:spacing w:after="140" w:line="324" w:lineRule="auto"/>
      </w:pPr>
      <w:r>
        <w:rPr>
          <w:rFonts w:ascii="Times New Roman" w:hAnsi="Times New Roman"/>
          <w:sz w:val="22"/>
          <w:lang w:val="en-GB"/>
        </w:rPr>
        <w:t xml:space="preserve">10.1 We will notify the Customer without undue delay after becoming aware of a Personal Data Breach affecting Customer Personal Data, consistently with UK GDPR Article 33(2). No fixed contractual outer deadline is agreed. We will not delay the initial notification while awaiting a complete investigation, risk assessment or all the details.</w:t>
      </w:r>
    </w:p>
    <w:p>
      <w:pPr>
        <w:pStyle w:val="Normal"/>
        <w:spacing w:after="140" w:line="324" w:lineRule="auto"/>
      </w:pPr>
      <w:r>
        <w:rPr>
          <w:rFonts w:ascii="Times New Roman" w:hAnsi="Times New Roman"/>
          <w:sz w:val="22"/>
          <w:lang w:val="en-GB"/>
        </w:rPr>
        <w:t xml:space="preserve">10.2 We will provide the information then available about the breach's nature, affected categories and approximate numbers, a contact point, likely consequences and response measures, and provide further information without undue further delay as it becomes available. We will cooperate appropriately with the Customer's response.</w:t>
      </w:r>
    </w:p>
    <w:p>
      <w:pPr>
        <w:pStyle w:val="Normal"/>
        <w:spacing w:after="140" w:line="324" w:lineRule="auto"/>
      </w:pPr>
      <w:r>
        <w:rPr>
          <w:rFonts w:ascii="Times New Roman" w:hAnsi="Times New Roman"/>
          <w:sz w:val="22"/>
          <w:lang w:val="en-GB"/>
        </w:rPr>
        <w:t xml:space="preserve">10.3 The responsible Controller must assess and fulfil its own notification obligations. Under UK GDPR Article 33(1), it must notify a reportable breach to the ICO without undue delay and, where feasible, not later than 72 hours after awareness, unless the breach is unlikely to result in a risk to individuals' rights and freedoms. A notification made after 72 hours must give reasons for the delay. That reporting period is not an allowance for us to wait before notifying the Customer. Where the Customer acts as a Processor, it must notify its own Controller without undue delay.</w:t>
      </w:r>
    </w:p>
    <w:p>
      <w:pPr>
        <w:pStyle w:val="Normal"/>
        <w:spacing w:after="140" w:line="324" w:lineRule="auto"/>
      </w:pPr>
      <w:r>
        <w:rPr>
          <w:rFonts w:ascii="Times New Roman" w:hAnsi="Times New Roman"/>
          <w:sz w:val="22"/>
          <w:lang w:val="en-GB"/>
        </w:rPr>
        <w:t xml:space="preserve">10.4 Nothing in this clause removes another applicable mandatory notification obligation, including our obligations where we independently act as a Controller, or the assistance required under this DPA. The operational incident-escalation and response procedure must still be verified; the absence of a fixed contractual outer deadline does not relax the requirement to act without undue delay.</w:t>
      </w:r>
    </w:p>
    <w:p>
      <w:pPr>
        <w:pStyle w:val="Heading1"/>
        <w:spacing w:after="140" w:line="324" w:lineRule="auto"/>
        <w:keepNext/>
      </w:pPr>
      <w:r>
        <w:rPr>
          <w:rFonts w:ascii="Times New Roman" w:hAnsi="Times New Roman"/>
          <w:sz w:val="26"/>
          <w:b/>
          <w:lang w:val="en-GB"/>
        </w:rPr>
        <w:t xml:space="preserve">11. Termination, return, deletion and retained copies</w:t>
      </w:r>
    </w:p>
    <w:p>
      <w:pPr>
        <w:pStyle w:val="Normal"/>
        <w:spacing w:after="140" w:line="324" w:lineRule="auto"/>
      </w:pPr>
      <w:r>
        <w:rPr>
          <w:rFonts w:ascii="Times New Roman" w:hAnsi="Times New Roman"/>
          <w:sz w:val="22"/>
          <w:lang w:val="en-GB"/>
        </w:rPr>
        <w:t xml:space="preserve">11.1 At the end of service, the Customer may instruct return or deletion of Customer Personal Data as applicable under law. The lawful procedure, return format, secure delivery, timing, retained backups and provider copies must be completed before customer acceptance of this DPA.</w:t>
      </w:r>
    </w:p>
    <w:p>
      <w:pPr>
        <w:pStyle w:val="Normal"/>
        <w:spacing w:after="140" w:line="324" w:lineRule="auto"/>
      </w:pPr>
      <w:r>
        <w:rPr>
          <w:rFonts w:ascii="Times New Roman" w:hAnsi="Times New Roman"/>
          <w:sz w:val="22"/>
          <w:lang w:val="en-GB"/>
        </w:rPr>
        <w:t xml:space="preserve">11.2 The Customer's intended commercial arrangement is 30 days of restricted read-only/export access after termination. That mode is not activated by these drafts. It applies only once the mode and associated return/deletion process are implemented and verified and expressly documented as active in the agreed customer contract, consistently with Terms clauses 11.5 and 11.6.</w:t>
      </w:r>
    </w:p>
    <w:p>
      <w:pPr>
        <w:pStyle w:val="Normal"/>
        <w:spacing w:after="140" w:line="324" w:lineRule="auto"/>
      </w:pPr>
      <w:r>
        <w:rPr>
          <w:rFonts w:ascii="Times New Roman" w:hAnsi="Times New Roman"/>
          <w:sz w:val="22"/>
          <w:lang w:val="en-GB"/>
        </w:rPr>
        <w:t xml:space="preserve">11.3 The agreed drafting intention is completion of Customer Personal Data deletion from the active Service at the end of the full 30-day export window, subject to lawful instructions and identified legal-retention exceptions. It is not a further 30-day period in which deletion merely begins. Before this becomes an active contractual commitment, a verified process must preserve the full export window and complete active-service deletion at that boundary, including safe handling of exports in progress. Lawful instructions for earlier return or deletion remain effective where applicable. This draft does not verify or activate that process.</w:t>
      </w:r>
    </w:p>
    <w:p>
      <w:pPr>
        <w:pStyle w:val="Normal"/>
        <w:spacing w:after="140" w:line="324" w:lineRule="auto"/>
      </w:pPr>
      <w:r>
        <w:rPr>
          <w:rFonts w:ascii="Times New Roman" w:hAnsi="Times New Roman"/>
          <w:sz w:val="22"/>
          <w:lang w:val="en-GB"/>
        </w:rPr>
        <w:t xml:space="preserve">11.4 Backup and provider-copy retention requires separate confirmed arrangements. Active-service deletion at day 30 is not a blanket promise that every backup or provider copy disappears then. Retained Customer Personal Data remains protected by this DPA, is not reused for unrelated purposes, and must be restricted appropriately. The completed procedure must address legally required retention, backup isolation and a defined expiry/deletion schedule, and treatment of data if a backup is restored, without using these matters to avoid a mandatory return/deletion obligation.</w:t>
      </w:r>
    </w:p>
    <w:p>
      <w:pPr>
        <w:pStyle w:val="Normal"/>
        <w:spacing w:after="140" w:line="324" w:lineRule="auto"/>
      </w:pPr>
      <w:r>
        <w:rPr>
          <w:rFonts w:ascii="Times New Roman" w:hAnsi="Times New Roman"/>
          <w:sz w:val="22"/>
          <w:lang w:val="en-GB"/>
        </w:rPr>
        <w:t xml:space="preserve">11.5 This review draft is not a substitute for the final return/deletion provision required for customer processing. No automatic cleanup, bulk deletion or post-termination account mode is authorised or implemented by this drafting work.</w:t>
      </w:r>
    </w:p>
    <w:p>
      <w:pPr>
        <w:pStyle w:val="Normal"/>
        <w:spacing w:after="140" w:line="324" w:lineRule="auto"/>
      </w:pPr>
      <w:r>
        <w:rPr>
          <w:rFonts w:ascii="Times New Roman" w:hAnsi="Times New Roman"/>
          <w:sz w:val="22"/>
          <w:lang w:val="en-GB"/>
        </w:rPr>
        <w:t xml:space="preserve">11.6 Terms clause 11.6 contains the broader commercial commitment covering all customer workspace content across subscribed functions, including both personal and non-personal records, attachments and configuration. This DPA governs Customer Personal Data and does not narrow that broader Customer Data commitment to personal data alone. The broader scope is subject to the same verification and contractual-activation conditions, identified lawful exceptions and separate backup/provider-copy arrangements.</w:t>
      </w:r>
    </w:p>
    <w:p>
      <w:pPr>
        <w:pStyle w:val="Heading1"/>
        <w:spacing w:after="140" w:line="324" w:lineRule="auto"/>
        <w:keepNext/>
      </w:pPr>
      <w:r>
        <w:rPr>
          <w:rFonts w:ascii="Times New Roman" w:hAnsi="Times New Roman"/>
          <w:sz w:val="26"/>
          <w:b/>
          <w:lang w:val="en-GB"/>
        </w:rPr>
        <w:t xml:space="preserve">12. Information and audits</w:t>
      </w:r>
    </w:p>
    <w:p>
      <w:pPr>
        <w:pStyle w:val="Normal"/>
        <w:spacing w:after="140" w:line="324" w:lineRule="auto"/>
      </w:pPr>
      <w:r>
        <w:rPr>
          <w:rFonts w:ascii="Times New Roman" w:hAnsi="Times New Roman"/>
          <w:sz w:val="22"/>
          <w:lang w:val="en-GB"/>
        </w:rPr>
        <w:t xml:space="preserve">12.1 We will make available the information required to demonstrate compliance and allow and contribute to audits, including inspections, as required by applicable data-protection law.</w:t>
      </w:r>
    </w:p>
    <w:p>
      <w:pPr>
        <w:pStyle w:val="Normal"/>
        <w:spacing w:after="140" w:line="324" w:lineRule="auto"/>
      </w:pPr>
      <w:r>
        <w:rPr>
          <w:rFonts w:ascii="Times New Roman" w:hAnsi="Times New Roman"/>
          <w:sz w:val="22"/>
          <w:lang w:val="en-GB"/>
        </w:rPr>
        <w:t xml:space="preserve">12.2 Audits should use reasonable advance notice, appropriate confidentiality, reasonable scope and safeguards for other customers' data. Routine audits may ordinarily be scheduled no more than annually, but this cannot prevent audits required by law, a regulator, a relevant breach or reasonable evidence of non-compliance.</w:t>
      </w:r>
    </w:p>
    <w:p>
      <w:pPr>
        <w:pStyle w:val="Normal"/>
        <w:spacing w:after="140" w:line="324" w:lineRule="auto"/>
      </w:pPr>
      <w:r>
        <w:rPr>
          <w:rFonts w:ascii="Times New Roman" w:hAnsi="Times New Roman"/>
          <w:sz w:val="22"/>
          <w:lang w:val="en-GB"/>
        </w:rPr>
        <w:t xml:space="preserve">12.3 Relevant independent reports may help avoid duplicative work where actually available, but do not automatically replace mandatory audit rights. No ISO 27001, SOC 2 or equivalent certification is claimed. Routine audits require reasonable advance notice, with no fixed number of days agreed, subject to the exceptions in clause 12.2.</w:t>
      </w:r>
    </w:p>
    <w:p>
      <w:pPr>
        <w:pStyle w:val="Heading1"/>
        <w:spacing w:after="140" w:line="324" w:lineRule="auto"/>
        <w:keepNext/>
      </w:pPr>
      <w:r>
        <w:rPr>
          <w:rFonts w:ascii="Times New Roman" w:hAnsi="Times New Roman"/>
          <w:sz w:val="26"/>
          <w:b/>
          <w:lang w:val="en-GB"/>
        </w:rPr>
        <w:t xml:space="preserve">13. Liability and contract precedence</w:t>
      </w:r>
    </w:p>
    <w:p>
      <w:pPr>
        <w:pStyle w:val="Normal"/>
        <w:spacing w:after="140" w:line="324" w:lineRule="auto"/>
      </w:pPr>
      <w:r>
        <w:rPr>
          <w:rFonts w:ascii="Times New Roman" w:hAnsi="Times New Roman"/>
          <w:sz w:val="22"/>
          <w:lang w:val="en-GB"/>
        </w:rPr>
        <w:t xml:space="preserve">13.1 The applicable limitations and exclusions are those in Terms clauses 13 and 14, to the extent legally permissible. Prospexe's proposed cap is the Customer's fees paid in the preceding 12 months, with no agreed monetary floor. The specified Customer indemnity is capped on the same basis; this is not automatically a general cap on all Customer liability.</w:t>
      </w:r>
    </w:p>
    <w:p>
      <w:pPr>
        <w:pStyle w:val="Normal"/>
        <w:spacing w:after="140" w:line="324" w:lineRule="auto"/>
      </w:pPr>
      <w:r>
        <w:rPr>
          <w:rFonts w:ascii="Times New Roman" w:hAnsi="Times New Roman"/>
          <w:sz w:val="22"/>
          <w:lang w:val="en-GB"/>
        </w:rPr>
        <w:t xml:space="preserve">13.2 Nothing removes liabilities or rights that cannot lawfully be limited, including applicable rights of Data Subjects or powers of regulators. The DPA prevails over the Terms for conflicting Customer Personal Data processing requirements.</w:t>
      </w:r>
    </w:p>
    <w:p>
      <w:pPr>
        <w:pStyle w:val="Heading1"/>
        <w:spacing w:after="140" w:line="324" w:lineRule="auto"/>
        <w:keepNext/>
      </w:pPr>
      <w:r>
        <w:rPr>
          <w:rFonts w:ascii="Times New Roman" w:hAnsi="Times New Roman"/>
          <w:sz w:val="26"/>
          <w:b/>
          <w:lang w:val="en-GB"/>
        </w:rPr>
        <w:t xml:space="preserve">14. Duration and contacts</w:t>
      </w:r>
    </w:p>
    <w:p>
      <w:pPr>
        <w:pStyle w:val="Normal"/>
        <w:spacing w:after="140" w:line="324" w:lineRule="auto"/>
      </w:pPr>
      <w:r>
        <w:rPr>
          <w:rFonts w:ascii="Times New Roman" w:hAnsi="Times New Roman"/>
          <w:sz w:val="22"/>
          <w:lang w:val="en-GB"/>
        </w:rPr>
        <w:t xml:space="preserve">14.1 The completed DPA takes effect with the authorised representative's written acceptance of the identified contract package and continues while we process or retain Customer Personal Data for the Customer, including the agreed post-termination period.</w:t>
      </w:r>
    </w:p>
    <w:p>
      <w:pPr>
        <w:pStyle w:val="Normal"/>
        <w:spacing w:after="140" w:line="324" w:lineRule="auto"/>
      </w:pPr>
      <w:r>
        <w:rPr>
          <w:rFonts w:ascii="Times New Roman" w:hAnsi="Times New Roman"/>
          <w:sz w:val="22"/>
          <w:lang w:val="en-GB"/>
        </w:rPr>
        <w:t xml:space="preserve">14.2 Data-protection notices to Prospexe should be sent to </w:t>
      </w:r>
      <w:hyperlink r:id="rIdPolicyLink7" w:history="1">
        <w:r>
          <w:rPr>
            <w:rStyle w:val="Hyperlink"/>
            <w:rFonts w:ascii="Times New Roman" w:hAnsi="Times New Roman"/>
            <w:sz w:val="22"/>
            <w:lang w:val="en-GB"/>
          </w:rPr>
          <w:t xml:space="preserve">info@prospexe.co.uk</w:t>
        </w:r>
      </w:hyperlink>
      <w:r>
        <w:rPr>
          <w:rFonts w:ascii="Times New Roman" w:hAnsi="Times New Roman"/>
          <w:sz w:val="22"/>
          <w:lang w:val="en-GB"/>
        </w:rPr>
        <w:t xml:space="preserve">. The Customer's authorised instruction and notice contacts must be recorded in the Order or processing schedule.</w:t>
      </w:r>
    </w:p>
    <w:p>
      <w:pPr>
        <w:pStyle w:val="Heading1"/>
        <w:spacing w:after="140" w:line="324" w:lineRule="auto"/>
        <w:keepNext/>
      </w:pPr>
      <w:r>
        <w:rPr>
          <w:rFonts w:ascii="Times New Roman" w:hAnsi="Times New Roman"/>
          <w:sz w:val="26"/>
          <w:b/>
          <w:lang w:val="en-GB"/>
        </w:rPr>
        <w:t xml:space="preserve">Annex 1 — Details of processing</w:t>
      </w:r>
    </w:p>
    <w:p>
      <w:pPr>
        <w:pStyle w:val="Normal"/>
        <w:spacing w:after="140" w:line="324" w:lineRule="auto"/>
      </w:pPr>
      <w:r>
        <w:rPr>
          <w:rFonts w:ascii="Times New Roman" w:hAnsi="Times New Roman"/>
          <w:sz w:val="22"/>
          <w:lang w:val="en-GB"/>
        </w:rPr>
        <w:t xml:space="preserve">Subject matter: providing the subscribed agency CRM/workspace and agreed associated communications, reporting, staff/HR and support functions on the Customer's instructions.</w:t>
      </w:r>
    </w:p>
    <w:p>
      <w:pPr>
        <w:pStyle w:val="Normal"/>
        <w:spacing w:after="140" w:line="324" w:lineRule="auto"/>
      </w:pPr>
      <w:r>
        <w:rPr>
          <w:rFonts w:ascii="Times New Roman" w:hAnsi="Times New Roman"/>
          <w:sz w:val="22"/>
          <w:lang w:val="en-GB"/>
        </w:rPr>
        <w:t xml:space="preserve">Duration: the agreed service relationship and the finalised return/deletion and lawful retention periods. The intended 30-day read-only/export period is subject to the activation conditions in clause 11.</w:t>
      </w:r>
    </w:p>
    <w:p>
      <w:pPr>
        <w:pStyle w:val="Normal"/>
        <w:spacing w:after="140" w:line="324" w:lineRule="auto"/>
      </w:pPr>
      <w:r>
        <w:rPr>
          <w:rFonts w:ascii="Times New Roman" w:hAnsi="Times New Roman"/>
          <w:sz w:val="22"/>
          <w:lang w:val="en-GB"/>
        </w:rPr>
        <w:t xml:space="preserve">Nature and purpose: hosting, storage, retrieval, organisation, display, authorised sharing, export and customer-instructed transmission of Customer Personal Data; communications/call handling and transcripts where enabled; HR/absence administration where enabled; and necessary technical support, security and agreed backup operations.</w:t>
      </w:r>
    </w:p>
    <w:p>
      <w:pPr>
        <w:pStyle w:val="Normal"/>
        <w:spacing w:after="140" w:line="324" w:lineRule="auto"/>
      </w:pPr>
      <w:r>
        <w:rPr>
          <w:rFonts w:ascii="Times New Roman" w:hAnsi="Times New Roman"/>
          <w:sz w:val="22"/>
          <w:lang w:val="en-GB"/>
        </w:rPr>
        <w:t xml:space="preserve">Data subjects: contacts and prospects of the Customer or its authorised end-clients; people participating in customer-directed communications; Customer personnel and contractors; and relevant people identified in support or HR records.</w:t>
      </w:r>
    </w:p>
    <w:p>
      <w:pPr>
        <w:pStyle w:val="Normal"/>
        <w:spacing w:after="140" w:line="324" w:lineRule="auto"/>
      </w:pPr>
      <w:r>
        <w:rPr>
          <w:rFonts w:ascii="Times New Roman" w:hAnsi="Times New Roman"/>
          <w:sz w:val="22"/>
          <w:lang w:val="en-GB"/>
        </w:rPr>
        <w:t xml:space="preserve">Personal data categories: contact and business identifiers, account/workspace identifiers as applicable, communications and interaction histories, call metadata and transcripts, support content and attachments, and staff/HR employment and absence information within the agreed functions.</w:t>
      </w:r>
    </w:p>
    <w:p>
      <w:pPr>
        <w:pStyle w:val="Normal"/>
        <w:spacing w:after="140" w:line="324" w:lineRule="auto"/>
      </w:pPr>
      <w:r>
        <w:rPr>
          <w:rFonts w:ascii="Times New Roman" w:hAnsi="Times New Roman"/>
          <w:sz w:val="22"/>
          <w:lang w:val="en-GB"/>
        </w:rPr>
        <w:t xml:space="preserve">Special-category scope: health-related HR information required for the Customer's employment/absence administration, only on lawful documented instructions, with the required lawful basis, special-category condition, access restrictions and agreed safeguards. Other special-category or criminal-offence data requires a separately assessed and documented scope before processing.</w:t>
      </w:r>
    </w:p>
    <w:p>
      <w:pPr>
        <w:pStyle w:val="Normal"/>
        <w:spacing w:after="140" w:line="324" w:lineRule="auto"/>
      </w:pPr>
      <w:r>
        <w:rPr>
          <w:rFonts w:ascii="Times New Roman" w:hAnsi="Times New Roman"/>
          <w:sz w:val="22"/>
          <w:lang w:val="en-GB"/>
        </w:rPr>
        <w:t xml:space="preserve">Required finalisation: specify the Customer's Controller/Processor role, ultimate-controller authority where relevant, enabled functions, authorised HR access, sensitive-data safeguards and responsible contacts. This annex is not a licence for unrestricted sensitive uploads.</w:t>
      </w:r>
    </w:p>
    <w:p>
      <w:pPr>
        <w:pStyle w:val="Heading1"/>
        <w:spacing w:after="140" w:line="324" w:lineRule="auto"/>
        <w:keepNext/>
      </w:pPr>
      <w:r>
        <w:rPr>
          <w:rFonts w:ascii="Times New Roman" w:hAnsi="Times New Roman"/>
          <w:sz w:val="26"/>
          <w:b/>
          <w:lang w:val="en-GB"/>
        </w:rPr>
        <w:t xml:space="preserve">Annex 2 — Security schedule requiring verification</w:t>
      </w:r>
    </w:p>
    <w:p>
      <w:pPr>
        <w:pStyle w:val="Normal"/>
        <w:spacing w:after="140" w:line="324" w:lineRule="auto"/>
      </w:pPr>
      <w:r>
        <w:rPr>
          <w:rFonts w:ascii="Times New Roman" w:hAnsi="Times New Roman"/>
          <w:sz w:val="22"/>
          <w:lang w:val="en-GB"/>
        </w:rPr>
        <w:t xml:space="preserve">The following areas must be described accurately for the actual deployment before this schedule is approved:</w:t>
      </w:r>
    </w:p>
    <w:p>
      <w:pPr>
        <w:pStyle w:val="Normal"/>
        <w:numPr>
          <w:ilvl w:val="0"/>
          <w:numId w:val="1"/>
        </w:numPr>
        <w:spacing w:after="140" w:line="324" w:lineRule="auto"/>
      </w:pPr>
      <w:r>
        <w:rPr>
          <w:rFonts w:ascii="Times New Roman" w:hAnsi="Times New Roman"/>
          <w:sz w:val="22"/>
          <w:lang w:val="en-GB"/>
        </w:rPr>
        <w:t xml:space="preserve">Transport protection and the actual scope of application, database, stored-file and provider encryption; access to encryption keys and relevant limitations.</w:t>
      </w:r>
    </w:p>
    <w:p>
      <w:pPr>
        <w:pStyle w:val="Normal"/>
        <w:numPr>
          <w:ilvl w:val="0"/>
          <w:numId w:val="1"/>
        </w:numPr>
        <w:spacing w:after="140" w:line="324" w:lineRule="auto"/>
      </w:pPr>
      <w:r>
        <w:rPr>
          <w:rFonts w:ascii="Times New Roman" w:hAnsi="Times New Roman"/>
          <w:sz w:val="22"/>
          <w:lang w:val="en-GB"/>
        </w:rPr>
        <w:t xml:space="preserve">Agency segregation and role-based permissions, privileged access, unique accounts and the actual administrative MFA configuration.</w:t>
      </w:r>
    </w:p>
    <w:p>
      <w:pPr>
        <w:pStyle w:val="Normal"/>
        <w:numPr>
          <w:ilvl w:val="0"/>
          <w:numId w:val="1"/>
        </w:numPr>
        <w:spacing w:after="140" w:line="324" w:lineRule="auto"/>
      </w:pPr>
      <w:r>
        <w:rPr>
          <w:rFonts w:ascii="Times New Roman" w:hAnsi="Times New Roman"/>
          <w:sz w:val="22"/>
          <w:lang w:val="en-GB"/>
        </w:rPr>
        <w:t xml:space="preserve">Logging, monitoring, incident escalation and breach handling, without exposing credentials or unnecessary personal data in logs.</w:t>
      </w:r>
    </w:p>
    <w:p>
      <w:pPr>
        <w:pStyle w:val="Normal"/>
        <w:numPr>
          <w:ilvl w:val="0"/>
          <w:numId w:val="1"/>
        </w:numPr>
        <w:spacing w:after="140" w:line="324" w:lineRule="auto"/>
      </w:pPr>
      <w:r>
        <w:rPr>
          <w:rFonts w:ascii="Times New Roman" w:hAnsi="Times New Roman"/>
          <w:sz w:val="22"/>
          <w:lang w:val="en-GB"/>
        </w:rPr>
        <w:t xml:space="preserve">Actual backup provider, locations, frequency, retention, restoration process and evidence of restoration testing.</w:t>
      </w:r>
    </w:p>
    <w:p>
      <w:pPr>
        <w:pStyle w:val="Normal"/>
        <w:numPr>
          <w:ilvl w:val="0"/>
          <w:numId w:val="1"/>
        </w:numPr>
        <w:spacing w:after="140" w:line="324" w:lineRule="auto"/>
      </w:pPr>
      <w:r>
        <w:rPr>
          <w:rFonts w:ascii="Times New Roman" w:hAnsi="Times New Roman"/>
          <w:sz w:val="22"/>
          <w:lang w:val="en-GB"/>
        </w:rPr>
        <w:t xml:space="preserve">Appropriate confidentiality duties, access-review procedures, staff awareness/training arrangements and vendor review.</w:t>
      </w:r>
    </w:p>
    <w:p>
      <w:pPr>
        <w:pStyle w:val="Normal"/>
        <w:numPr>
          <w:ilvl w:val="0"/>
          <w:numId w:val="1"/>
        </w:numPr>
        <w:spacing w:after="140" w:line="324" w:lineRule="auto"/>
      </w:pPr>
      <w:r>
        <w:rPr>
          <w:rFonts w:ascii="Times New Roman" w:hAnsi="Times New Roman"/>
          <w:sz w:val="22"/>
          <w:lang w:val="en-GB"/>
        </w:rPr>
        <w:t xml:space="preserve">The intended dependency checks and scheduled security scans, with evidence of operation rather than an unsupported claim of certification or comprehensive independent audits.</w:t>
      </w:r>
    </w:p>
    <w:p>
      <w:pPr>
        <w:pStyle w:val="Normal"/>
        <w:numPr>
          <w:ilvl w:val="0"/>
          <w:numId w:val="1"/>
        </w:numPr>
        <w:spacing w:after="140" w:line="324" w:lineRule="auto"/>
      </w:pPr>
      <w:r>
        <w:rPr>
          <w:rFonts w:ascii="Times New Roman" w:hAnsi="Times New Roman"/>
          <w:sz w:val="22"/>
          <w:lang w:val="en-GB"/>
        </w:rPr>
        <w:t xml:space="preserve">Return/deletion controls, restricted post-termination access and treatment of backup and provider copies once approved and implemented.</w:t>
      </w:r>
    </w:p>
    <w:p>
      <w:pPr>
        <w:pStyle w:val="Normal"/>
        <w:spacing w:after="140" w:line="324" w:lineRule="auto"/>
      </w:pPr>
      <w:r>
        <w:rPr>
          <w:rFonts w:ascii="Times New Roman" w:hAnsi="Times New Roman"/>
          <w:sz w:val="22"/>
          <w:lang w:val="en-GB"/>
        </w:rPr>
        <w:t xml:space="preserve">This is a finalisation checklist, not a representation that every listed measure has already been delivered or tested.</w:t>
      </w:r>
    </w:p>
    <w:p>
      <w:pPr>
        <w:pStyle w:val="Heading1"/>
        <w:spacing w:after="140" w:line="324" w:lineRule="auto"/>
        <w:keepNext/>
      </w:pPr>
      <w:r>
        <w:rPr>
          <w:rFonts w:ascii="Times New Roman" w:hAnsi="Times New Roman"/>
          <w:sz w:val="26"/>
          <w:b/>
          <w:lang w:val="en-GB"/>
        </w:rPr>
        <w:t xml:space="preserve">Annex 3 — Provider schedule requiring confirmation</w:t>
      </w:r>
    </w:p>
    <w:p>
      <w:pPr>
        <w:pStyle w:val="Normal"/>
        <w:spacing w:after="140" w:line="324" w:lineRule="auto"/>
      </w:pPr>
      <w:r>
        <w:rPr>
          <w:rFonts w:ascii="Times New Roman" w:hAnsi="Times New Roman"/>
          <w:sz w:val="22"/>
          <w:lang w:val="en-GB"/>
        </w:rPr>
        <w:t xml:space="preserve">Current production hosting/storage: verify the actual provider, products, roles and locations. IONOS is the planned hosting/storage provider; that plan is not confirmation that the production Service or backups have moved there.</w:t>
      </w:r>
    </w:p>
    <w:p>
      <w:pPr>
        <w:pStyle w:val="Normal"/>
        <w:spacing w:after="140" w:line="324" w:lineRule="auto"/>
      </w:pPr>
      <w:r>
        <w:rPr>
          <w:rFonts w:ascii="Times New Roman" w:hAnsi="Times New Roman"/>
          <w:sz w:val="22"/>
          <w:lang w:val="en-GB"/>
        </w:rPr>
        <w:t xml:space="preserve">Replit-managed Clerk: used for authentication. Identify the exact processing purposes, controller/processor role for each relevant flow, locations, contractual protections and transfer safeguards. Independent controller account processing must not be indiscriminately listed as Customer Personal Data sub-processing.</w:t>
      </w:r>
    </w:p>
    <w:p>
      <w:pPr>
        <w:pStyle w:val="Normal"/>
        <w:spacing w:after="140" w:line="324" w:lineRule="auto"/>
      </w:pPr>
      <w:r>
        <w:rPr>
          <w:rFonts w:ascii="Times New Roman" w:hAnsi="Times New Roman"/>
          <w:sz w:val="22"/>
          <w:lang w:val="en-GB"/>
        </w:rPr>
        <w:t xml:space="preserve">Customer-selected email, voice and messaging services: record the providers actually selected and instructed, and identify their contractual role and the relevant data flow. Do not describe all such providers as automatically appointed by Prospexe.</w:t>
      </w:r>
    </w:p>
    <w:p>
      <w:pPr>
        <w:pStyle w:val="Normal"/>
        <w:spacing w:after="140" w:line="324" w:lineRule="auto"/>
      </w:pPr>
      <w:r>
        <w:rPr>
          <w:rFonts w:ascii="Times New Roman" w:hAnsi="Times New Roman"/>
          <w:sz w:val="22"/>
          <w:lang w:val="en-GB"/>
        </w:rPr>
        <w:t xml:space="preserve">No subscription payment provider has been selected and no website analytics provider is currently used. Do not add fictional providers merely to fill categories in the original template.</w:t>
      </w:r>
    </w:p>
    <w:p>
      <w:pPr>
        <w:pStyle w:val="Normal"/>
        <w:spacing w:after="140" w:line="324" w:lineRule="auto"/>
      </w:pPr>
      <w:r>
        <w:rPr>
          <w:rFonts w:ascii="Times New Roman" w:hAnsi="Times New Roman"/>
          <w:sz w:val="22"/>
          <w:lang w:val="en-GB"/>
        </w:rPr>
        <w:t xml:space="preserve">Any Prospexe-appointed support, communications, infrastructure or other provider that processes Customer Personal Data must be added to the completed authorised list with its role, locations and required protections.</w:t>
      </w:r>
    </w:p>
    <w:p>
      <w:pPr>
        <w:pStyle w:val="Normal"/>
        <w:spacing w:after="140" w:line="324" w:lineRule="auto"/>
      </w:pPr>
      <w:r>
        <w:rPr>
          <w:rFonts w:ascii="Times New Roman" w:hAnsi="Times New Roman"/>
          <w:sz w:val="22"/>
          <w:lang w:val="en-GB"/>
        </w:rPr>
        <w:t xml:space="preserve">This annex is not yet an approved production Sub-processor list. Complete and agree it before customer processing under the final contract package.</w:t>
      </w:r>
    </w:p>
    <w:p>
      <w:pPr>
        <w:pStyle w:val="Heading1"/>
        <w:spacing w:after="140" w:line="324" w:lineRule="auto"/>
        <w:keepNext/>
      </w:pPr>
      <w:r>
        <w:rPr>
          <w:rFonts w:ascii="Times New Roman" w:hAnsi="Times New Roman"/>
          <w:sz w:val="26"/>
          <w:b/>
          <w:lang w:val="en-GB"/>
        </w:rPr>
        <w:t xml:space="preserve">Review checklist — remove only after resolution</w:t>
      </w:r>
    </w:p>
    <w:p>
      <w:pPr>
        <w:pStyle w:val="Normal"/>
        <w:numPr>
          <w:ilvl w:val="0"/>
          <w:numId w:val="1"/>
        </w:numPr>
        <w:spacing w:after="140" w:line="324" w:lineRule="auto"/>
      </w:pPr>
      <w:r>
        <w:rPr>
          <w:rFonts w:ascii="Times New Roman" w:hAnsi="Times New Roman"/>
          <w:sz w:val="22"/>
          <w:lang w:val="en-GB"/>
        </w:rPr>
        <w:t xml:space="preserve">Based on the user's already supplied DPA, not a request for a replacement upload. The original remains unchanged.</w:t>
      </w:r>
    </w:p>
    <w:p>
      <w:pPr>
        <w:pStyle w:val="Normal"/>
        <w:numPr>
          <w:ilvl w:val="0"/>
          <w:numId w:val="1"/>
        </w:numPr>
        <w:spacing w:after="140" w:line="324" w:lineRule="auto"/>
      </w:pPr>
      <w:r>
        <w:rPr>
          <w:rFonts w:ascii="Times New Roman" w:hAnsi="Times New Roman"/>
          <w:sz w:val="22"/>
          <w:lang w:val="en-GB"/>
        </w:rPr>
        <w:t xml:space="preserve">Reconcile and approve both contract versions together. Do not publish or offer this package for acceptance while the security, provider and return/deletion schedules remain incomplete.</w:t>
      </w:r>
    </w:p>
    <w:p>
      <w:pPr>
        <w:pStyle w:val="Normal"/>
        <w:numPr>
          <w:ilvl w:val="0"/>
          <w:numId w:val="1"/>
        </w:numPr>
        <w:spacing w:after="140" w:line="324" w:lineRule="auto"/>
      </w:pPr>
      <w:r>
        <w:rPr>
          <w:rFonts w:ascii="Times New Roman" w:hAnsi="Times New Roman"/>
          <w:sz w:val="22"/>
          <w:lang w:val="en-GB"/>
        </w:rPr>
        <w:t xml:space="preserve">Notice choices are agreed: reasonable advance notice, with no fixed number of days, for sub-processor changes and routine audits; breach notification without undue delay, following the applicable legal requirement rather than an extra fixed contractual outer deadline. The Controller's separate 72-hour reporting rule is distinguished in clause 10.3. Verify the actual incident-escalation, response and audit procedures.</w:t>
      </w:r>
    </w:p>
    <w:p>
      <w:pPr>
        <w:pStyle w:val="Normal"/>
        <w:numPr>
          <w:ilvl w:val="0"/>
          <w:numId w:val="1"/>
        </w:numPr>
        <w:spacing w:after="140" w:line="324" w:lineRule="auto"/>
      </w:pPr>
      <w:r>
        <w:rPr>
          <w:rFonts w:ascii="Times New Roman" w:hAnsi="Times New Roman"/>
          <w:sz w:val="22"/>
          <w:lang w:val="en-GB"/>
        </w:rPr>
        <w:t xml:space="preserve">Confirm health-related HR safeguards and processing authority where an agency is itself a Processor for an end-client.</w:t>
      </w:r>
    </w:p>
    <w:p>
      <w:pPr>
        <w:pStyle w:val="Normal"/>
        <w:numPr>
          <w:ilvl w:val="0"/>
          <w:numId w:val="1"/>
        </w:numPr>
        <w:spacing w:after="140" w:line="324" w:lineRule="auto"/>
      </w:pPr>
      <w:r>
        <w:rPr>
          <w:rFonts w:ascii="Times New Roman" w:hAnsi="Times New Roman"/>
          <w:sz w:val="22"/>
          <w:lang w:val="en-GB"/>
        </w:rPr>
        <w:t xml:space="preserve">The user chose all customer workspace content for active-service deletion completed at the end of the full 30-day export window, not a later deletion period. The Terms cover personal and non-personal content and configuration; this DPA continues to govern personal-data processing. Verify the scope, boundary, exports in progress, backup/provider retention and lawful exceptions before contractual activation. This document work does not authorise destructive cleanup.</w:t>
      </w:r>
    </w:p>
    <w:p>
      <w:pPr>
        <w:pStyle w:val="Normal"/>
        <w:numPr>
          <w:ilvl w:val="0"/>
          <w:numId w:val="1"/>
        </w:numPr>
        <w:spacing w:after="140" w:line="324" w:lineRule="auto"/>
      </w:pPr>
      <w:r>
        <w:rPr>
          <w:rFonts w:ascii="Times New Roman" w:hAnsi="Times New Roman"/>
          <w:sz w:val="22"/>
          <w:lang w:val="en-GB"/>
        </w:rPr>
        <w:t xml:space="preserve">Obtain UK legal review of the liability cap, data-protection rights, sensitive-data provisions and completed processing schedules. No home address or invented company-registration details are included.</w:t>
      </w:r>
    </w:p>
    <w:p>
      <w:pPr>
        <w:pStyle w:val="Heading1"/>
        <w:spacing w:after="140" w:line="324" w:lineRule="auto"/>
        <w:keepNext/>
      </w:pPr>
      <w:r>
        <w:rPr>
          <w:rFonts w:ascii="Times New Roman" w:hAnsi="Times New Roman"/>
          <w:sz w:val="26"/>
          <w:b/>
          <w:lang w:val="en-GB"/>
        </w:rPr>
        <w:t xml:space="preserve">UK breach-notification sources</w:t>
      </w:r>
    </w:p>
    <w:p>
      <w:pPr>
        <w:pStyle w:val="Normal"/>
        <w:spacing w:after="140" w:line="324" w:lineRule="auto"/>
      </w:pPr>
      <w:r>
        <w:rPr>
          <w:rFonts w:ascii="Times New Roman" w:hAnsi="Times New Roman"/>
          <w:sz w:val="22"/>
          <w:lang w:val="en-GB"/>
        </w:rPr>
        <w:t xml:space="preserve">Checked on 12 October 2026 for this review. These sources support the distinction between processor-to-controller notification without undue delay and a Controller's reporting obligation; they do not verify Prospexe's operational response arrangements.</w:t>
      </w:r>
    </w:p>
    <w:p>
      <w:pPr>
        <w:pStyle w:val="Normal"/>
        <w:numPr>
          <w:ilvl w:val="0"/>
          <w:numId w:val="1"/>
        </w:numPr>
        <w:spacing w:after="140" w:line="324" w:lineRule="auto"/>
      </w:pPr>
      <w:hyperlink r:id="rIdPolicyLink4" w:history="1">
        <w:r>
          <w:rPr>
            <w:rStyle w:val="Hyperlink"/>
            <w:rFonts w:ascii="Times New Roman" w:hAnsi="Times New Roman"/>
            <w:sz w:val="22"/>
            <w:lang w:val="en-GB"/>
          </w:rPr>
          <w:t xml:space="preserve">UK GDPR Article 33, including paragraphs (1), (2) and (4)</w:t>
        </w:r>
      </w:hyperlink>
      <w:r>
        <w:rPr>
          <w:rFonts w:ascii="Times New Roman" w:hAnsi="Times New Roman"/>
          <w:sz w:val="22"/>
          <w:lang w:val="en-GB"/>
        </w:rPr>
        <w:t xml:space="preserve">: https://www.legislation.gov.uk/eur/2016/679/article/33</w:t>
      </w:r>
    </w:p>
    <w:p>
      <w:pPr>
        <w:pStyle w:val="Normal"/>
        <w:numPr>
          <w:ilvl w:val="0"/>
          <w:numId w:val="1"/>
        </w:numPr>
        <w:spacing w:after="140" w:line="324" w:lineRule="auto"/>
      </w:pPr>
      <w:r>
        <w:rPr>
          <w:rFonts w:ascii="Times New Roman" w:hAnsi="Times New Roman"/>
          <w:sz w:val="22"/>
          <w:lang w:val="en-GB"/>
        </w:rPr>
        <w:t xml:space="preserve"/>
      </w:r>
      <w:hyperlink r:id="rIdPolicyLink5" w:history="1">
        <w:r>
          <w:rPr>
            <w:rStyle w:val="Hyperlink"/>
            <w:rFonts w:ascii="Times New Roman" w:hAnsi="Times New Roman"/>
            <w:sz w:val="22"/>
            <w:lang w:val="en-GB"/>
          </w:rPr>
          <w:t xml:space="preserve">ICO, Personal data breaches: a guide</w:t>
        </w:r>
      </w:hyperlink>
      <w:r>
        <w:rPr>
          <w:rFonts w:ascii="Times New Roman" w:hAnsi="Times New Roman"/>
          <w:sz w:val="22"/>
          <w:lang w:val="en-GB"/>
        </w:rPr>
        <w:t xml:space="preserve">: https://ico.org.uk/for-organisations/report-a-breach/personal-data-breach/personal-data-breaches-a-guide/</w:t>
      </w:r>
    </w:p>
    <w:sectPr>
      <w:footerReference w:type="default" r:id="rId2"/>
      <w:pgSz w:w="11906" w:h="16838"/>
      <w:pgMar w:top="1134" w:bottom="1134" w:left="1134" w:right="1134" w:header="500" w:footer="500"/>
    </w:sectPr>
  </w:body>
</w:document>
</file>

<file path=word/footer1.xml><?xml version="1.0" encoding="utf-8"?>
<w:ftr xmlns:w="http://schemas.openxmlformats.org/wordprocessingml/2006/main">
  <w:p>
    <w:r>
      <w:rPr>
        <w:lang w:val="en-GB"/>
      </w:rPr>
      <w:t>Review draft — not for customer acceptance | Page </w:t>
    </w:r>
    <w:fldSimple w:instr="PAGE">
      <w:r>
        <w:rPr>
          <w:lang w:val="en-GB"/>
        </w:rPr>
        <w:t>1</w:t>
      </w:r>
    </w:fldSimple>
  </w:p>
</w:ftr>
</file>

<file path=word/numbering.xml><?xml version="1.0" encoding="utf-8"?>
<w:numbering xmlns:w="http://schemas.openxmlformats.org/wordprocessingml/2006/main">
  <w:abstractNum w:abstractNumId="0">
    <w:multiLevelType w:val="singleLevel"/>
    <w:lvl w:ilvl="0">
      <w:start w:val="1"/>
      <w:numFmt w:val="bullet"/>
      <w:lvlText w:val="•"/>
      <w:lvlJc w:val="left"/>
      <w:pPr>
        <w:tabs>
          <w:tab w:val="num" w:pos="720"/>
        </w:tabs>
        <w:ind w:left="720" w:hanging="360"/>
      </w:pPr>
      <w:rPr>
        <w:lang w:val="en-GB"/>
      </w:rPr>
    </w:lvl>
  </w:abstractNum>
  <w:num w:numId="1">
    <w:abstractNumId w:val="0"/>
  </w:num>
</w:numbering>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character" w:styleId="Hyperlink">
    <w:name w:val="Hyperlink"/>
    <w:basedOn w:val="DefaultParagraphFont"/>
    <w:uiPriority w:val="99"/>
    <w:unhideWhenUsed/>
    <w:rPr>
      <w:color w:val="0563C1"/>
      <w:u w:val="single"/>
    </w:rPr>
  </w:style>
</w:styles>
</file>

<file path=word/_rels/document.xml.rels><?xml version='1.0' encoding='utf-8'?>
<Relationships xmlns="http://schemas.openxmlformats.org/package/2006/relationships">
<Relationship Id="rId1" Type="http://schemas.openxmlformats.org/officeDocument/2006/relationships/styles" Target="styles.xml" />
<Relationship Id="rId2" Type="http://schemas.openxmlformats.org/officeDocument/2006/relationships/footer" Target="footer1.xml" />
<Relationship Id="rIdPolicyLink4" Type="http://schemas.openxmlformats.org/officeDocument/2006/relationships/hyperlink" Target="https://www.legislation.gov.uk/eur/2016/679/article/33" TargetMode="External" /><Relationship Id="rIdPolicyLink7" Type="http://schemas.openxmlformats.org/officeDocument/2006/relationships/hyperlink" Target="mailto:info@prospexe.co.uk" TargetMode="External" /><Relationship Id="rIdPolicyNumbering" Type="http://schemas.openxmlformats.org/officeDocument/2006/relationships/numbering" Target="numbering.xml" /><Relationship Id="rIdPolicyLink5" Type="http://schemas.openxmlformats.org/officeDocument/2006/relationships/hyperlink" Target="https://ico.org.uk/for-organisations/report-a-breach/personal-data-breach/personal-data-breaches-a-guide/" TargetMode="External" /></Relationships>
</file>

<file path=docProps/core.xml><?xml version="1.0" encoding="utf-8"?>
<cp:coreProperties xmlns:cp="http://schemas.openxmlformats.org/package/2006/metadata/core-properties" xmlns:dc="http://purl.org/dc/elements/1.1/">
  <dc:title>Prospexe Data Processing Agreement — Review Draft</dc:title>
  <dc:creator>Prospexe</dc:creator>
  <dc:subject>Review draft — not for customer acceptance</dc:subject>
</cp:coreProperties>
</file>